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10E0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10E02" w:rsidRDefault="00CD40F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E0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0E02" w:rsidRDefault="00CD40F9">
            <w:pPr>
              <w:pStyle w:val="ConsPlusTitlePage0"/>
              <w:jc w:val="center"/>
            </w:pPr>
            <w:r>
              <w:rPr>
                <w:sz w:val="48"/>
              </w:rPr>
              <w:t>&lt;Письмо&gt; ФАС России от 11.02.2026 N ГР/10525/26</w:t>
            </w:r>
            <w:r>
              <w:rPr>
                <w:sz w:val="48"/>
              </w:rPr>
              <w:br/>
              <w:t>"О рассмотрении обращения"</w:t>
            </w:r>
          </w:p>
        </w:tc>
      </w:tr>
      <w:tr w:rsidR="00010E0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0E02" w:rsidRDefault="00CD40F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010E02" w:rsidRDefault="00010E02">
      <w:pPr>
        <w:pStyle w:val="ConsPlusNormal0"/>
        <w:sectPr w:rsidR="00010E0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10E02" w:rsidRDefault="00010E02">
      <w:pPr>
        <w:pStyle w:val="ConsPlusNormal0"/>
        <w:jc w:val="both"/>
        <w:outlineLvl w:val="0"/>
      </w:pPr>
    </w:p>
    <w:p w:rsidR="00010E02" w:rsidRDefault="00CD40F9">
      <w:pPr>
        <w:pStyle w:val="ConsPlusTitle0"/>
        <w:jc w:val="center"/>
      </w:pPr>
      <w:r>
        <w:t>ФЕДЕРАЛЬНАЯ АНТИМОНОПОЛЬНАЯ СЛУЖБА</w:t>
      </w:r>
    </w:p>
    <w:p w:rsidR="00010E02" w:rsidRDefault="00010E02">
      <w:pPr>
        <w:pStyle w:val="ConsPlusTitle0"/>
        <w:jc w:val="center"/>
      </w:pPr>
    </w:p>
    <w:p w:rsidR="00010E02" w:rsidRDefault="00CD40F9">
      <w:pPr>
        <w:pStyle w:val="ConsPlusTitle0"/>
        <w:jc w:val="center"/>
      </w:pPr>
      <w:r>
        <w:t>ПИСЬМО</w:t>
      </w:r>
    </w:p>
    <w:p w:rsidR="00010E02" w:rsidRDefault="00CD40F9">
      <w:pPr>
        <w:pStyle w:val="ConsPlusTitle0"/>
        <w:jc w:val="center"/>
      </w:pPr>
      <w:r>
        <w:t>от 11 февраля 2026 г. N ГР/10525/26</w:t>
      </w:r>
    </w:p>
    <w:p w:rsidR="00010E02" w:rsidRDefault="00010E02">
      <w:pPr>
        <w:pStyle w:val="ConsPlusTitle0"/>
        <w:jc w:val="center"/>
      </w:pPr>
    </w:p>
    <w:p w:rsidR="00010E02" w:rsidRDefault="00CD40F9">
      <w:pPr>
        <w:pStyle w:val="ConsPlusTitle0"/>
        <w:jc w:val="center"/>
      </w:pPr>
      <w:r>
        <w:t>О РАССМОТРЕНИИ ОБРАЩЕНИЯ</w:t>
      </w:r>
    </w:p>
    <w:p w:rsidR="00010E02" w:rsidRDefault="00010E02">
      <w:pPr>
        <w:pStyle w:val="ConsPlusNormal0"/>
        <w:ind w:firstLine="540"/>
        <w:jc w:val="both"/>
      </w:pPr>
    </w:p>
    <w:p w:rsidR="00010E02" w:rsidRDefault="00CD40F9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010E02" w:rsidRDefault="00010E02">
      <w:pPr>
        <w:pStyle w:val="ConsPlusNormal0"/>
        <w:ind w:firstLine="540"/>
        <w:jc w:val="both"/>
      </w:pPr>
    </w:p>
    <w:p w:rsidR="00010E02" w:rsidRDefault="00CD40F9">
      <w:pPr>
        <w:pStyle w:val="ConsPlusTitle0"/>
        <w:ind w:firstLine="540"/>
        <w:jc w:val="both"/>
        <w:outlineLvl w:val="0"/>
      </w:pPr>
      <w:r>
        <w:t>По вопросу N 1.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1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Порядком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утвержденным приказом ФАС России от 22.11.2024 N 894/24 (далее - Порядок), при формировании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на дату поставки товара (для месяца поставки, следующего за текущим) может учитываться стоимость транспортировки, коэффициенты и показатели, установленные </w:t>
      </w:r>
      <w:hyperlink r:id="rId12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пунктами 7</w:t>
        </w:r>
      </w:hyperlink>
      <w:r>
        <w:t xml:space="preserve"> и </w:t>
      </w:r>
      <w:hyperlink r:id="rId13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8</w:t>
        </w:r>
      </w:hyperlink>
      <w:r>
        <w:t xml:space="preserve"> Порядка, а 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(месяца) предыдущего года, индекс потребительских цен (далее - ИПЦ), условия поставки товара, в том числе сроки и объем поставки, наличие авансирования, порядок расчета за поставленное моторное топливо.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>Коэффициент перехода на сезонный вид продукции рассчитывается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(например, соотношение цены в марте предыдущего года на дизельное топливо летнее, деленное на цену дизельного топлива зимнего в марте текущего года).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>Указанные дополнительные показатели и коэффициенты применяются при наличии соответствующих факторов и соответствующих условий поставки, рассчитываются и применяются заказчиками самостоятельно.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Таким образом, в целях определения цены на дату поставки товара заказчику необходимо применить текущую рыночную цену (данные статистической информации) и ИПЦ, показатели и коэффициенты, установленные </w:t>
      </w:r>
      <w:hyperlink r:id="rId14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пунктами 7</w:t>
        </w:r>
      </w:hyperlink>
      <w:r>
        <w:t xml:space="preserve"> и </w:t>
      </w:r>
      <w:hyperlink r:id="rId15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8</w:t>
        </w:r>
      </w:hyperlink>
      <w:r>
        <w:t xml:space="preserve"> Порядка (в том числе коэффициент перехода на сезонный вид продукции, применяемый при закупках дизельного топлива с учетом ИПЦ), при наличии соответствующих условий их применения.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Иные разъяснения по вопросам применения </w:t>
      </w:r>
      <w:hyperlink r:id="rId16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">
        <w:r>
          <w:rPr>
            <w:color w:val="0000FF"/>
          </w:rPr>
          <w:t>Порядка</w:t>
        </w:r>
      </w:hyperlink>
      <w:r>
        <w:t xml:space="preserve"> содержатся на официальном сайте ФАС России в разделе "Разъяснения": </w:t>
      </w:r>
      <w:hyperlink r:id="rId17">
        <w:r>
          <w:rPr>
            <w:color w:val="0000FF"/>
          </w:rPr>
          <w:t>https://fas.gov.ru/documents/689931</w:t>
        </w:r>
      </w:hyperlink>
      <w:r>
        <w:t>, а также в разделе "Видео комментарии": https://fas.gov.ru/p/videos/3383.</w:t>
      </w:r>
    </w:p>
    <w:p w:rsidR="00010E02" w:rsidRDefault="00010E02">
      <w:pPr>
        <w:pStyle w:val="ConsPlusNormal0"/>
        <w:ind w:firstLine="540"/>
        <w:jc w:val="both"/>
      </w:pPr>
    </w:p>
    <w:p w:rsidR="00010E02" w:rsidRDefault="00CD40F9">
      <w:pPr>
        <w:pStyle w:val="ConsPlusTitle0"/>
        <w:ind w:firstLine="540"/>
        <w:jc w:val="both"/>
        <w:outlineLvl w:val="0"/>
      </w:pPr>
      <w:r>
        <w:t>По вопросу N 2.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пункту 3 части 1 статьи 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закупка начинается с определения поставщика (подрядчика, исполнителя) и завершается исполнением обязательств сторонами контракта.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При этом </w:t>
      </w:r>
      <w:hyperlink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 статьи 94</w:t>
        </w:r>
      </w:hyperlink>
      <w:r>
        <w:t xml:space="preserve"> Закона N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</w:t>
      </w:r>
      <w:hyperlink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>Таким образом,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Кроме того, порядок определения поставщика (подрядчика, исполнителя), установленный </w:t>
      </w:r>
      <w:hyperlink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44-ФЗ, не предусматривает возможности начала исполнения обязательств участником закупки до заключения контракта с таким участником.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Учитывая изложенное, включение в контракт условия о том, что действие контракта распространяется на правоотношения, возникшие ранее даты его заключения, противоречит положениям </w:t>
      </w:r>
      <w:hyperlink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N 44-ФЗ.</w:t>
      </w:r>
    </w:p>
    <w:p w:rsidR="00010E02" w:rsidRDefault="00010E02">
      <w:pPr>
        <w:pStyle w:val="ConsPlusNormal0"/>
        <w:ind w:firstLine="540"/>
        <w:jc w:val="both"/>
      </w:pPr>
    </w:p>
    <w:p w:rsidR="00010E02" w:rsidRDefault="00CD40F9">
      <w:pPr>
        <w:pStyle w:val="ConsPlusTitle0"/>
        <w:ind w:firstLine="540"/>
        <w:jc w:val="both"/>
        <w:outlineLvl w:val="0"/>
      </w:pPr>
      <w:r>
        <w:t>По вопросу N 3.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В соответствии с положением </w:t>
      </w:r>
      <w:hyperlink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65.1 статьи 112</w:t>
        </w:r>
      </w:hyperlink>
      <w:r>
        <w:t xml:space="preserve"> Закона N 44-ФЗ по соглашению сторон допускается изменение существенных условий контракта, заключенного до 01.01.2027,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</w:t>
      </w:r>
      <w:hyperlink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65.1 статьи 112</w:t>
        </w:r>
      </w:hyperlink>
      <w:r>
        <w:t xml:space="preserve"> Закона N 44-ФЗ изменение осуществляется с соблюдением положений </w:t>
      </w:r>
      <w:hyperlink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частей 1.3</w:t>
        </w:r>
      </w:hyperlink>
      <w:r>
        <w:t xml:space="preserve"> - </w:t>
      </w:r>
      <w:hyperlink r:id="rId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1.6 статьи 95</w:t>
        </w:r>
      </w:hyperlink>
      <w:r>
        <w:t xml:space="preserve"> Закона N 44-ФЗ на основании 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Учитывая изложенное, положениями </w:t>
      </w:r>
      <w:hyperlink r:id="rId2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N 44-ФЗ установлены случаи изменения существенных условий контракта вследствие возникновения независящих от сторон обстоятельств.</w:t>
      </w:r>
    </w:p>
    <w:p w:rsidR="00010E02" w:rsidRDefault="00CD40F9">
      <w:pPr>
        <w:pStyle w:val="ConsPlusNormal0"/>
        <w:spacing w:before="240"/>
        <w:ind w:firstLine="540"/>
        <w:jc w:val="both"/>
      </w:pPr>
      <w:r>
        <w:t xml:space="preserve">Дополнительно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010E02" w:rsidRDefault="00010E02">
      <w:pPr>
        <w:pStyle w:val="ConsPlusNormal0"/>
        <w:ind w:firstLine="540"/>
        <w:jc w:val="both"/>
      </w:pPr>
    </w:p>
    <w:p w:rsidR="00010E02" w:rsidRDefault="00CD40F9">
      <w:pPr>
        <w:pStyle w:val="ConsPlusNormal0"/>
        <w:jc w:val="right"/>
      </w:pPr>
      <w:r>
        <w:t>Г.Г.РАДИОНОВ</w:t>
      </w:r>
    </w:p>
    <w:p w:rsidR="00010E02" w:rsidRDefault="00010E02">
      <w:pPr>
        <w:pStyle w:val="ConsPlusNormal0"/>
        <w:jc w:val="both"/>
      </w:pPr>
    </w:p>
    <w:p w:rsidR="00010E02" w:rsidRDefault="00010E02">
      <w:pPr>
        <w:pStyle w:val="ConsPlusNormal0"/>
        <w:jc w:val="both"/>
      </w:pPr>
    </w:p>
    <w:p w:rsidR="00010E02" w:rsidRDefault="00010E0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0E02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CE" w:rsidRDefault="00A51CCE">
      <w:r>
        <w:separator/>
      </w:r>
    </w:p>
  </w:endnote>
  <w:endnote w:type="continuationSeparator" w:id="0">
    <w:p w:rsidR="00A51CCE" w:rsidRDefault="00A5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02" w:rsidRDefault="00010E0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0E02">
      <w:trPr>
        <w:trHeight w:hRule="exact" w:val="1663"/>
      </w:trPr>
      <w:tc>
        <w:tcPr>
          <w:tcW w:w="1650" w:type="pct"/>
          <w:vAlign w:val="center"/>
        </w:tcPr>
        <w:p w:rsidR="00010E02" w:rsidRDefault="00CD40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0E02" w:rsidRDefault="00A51CCE">
          <w:pPr>
            <w:pStyle w:val="ConsPlusNormal0"/>
            <w:jc w:val="center"/>
          </w:pPr>
          <w:hyperlink r:id="rId1">
            <w:r w:rsidR="00CD40F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0E02" w:rsidRDefault="00CD40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8A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8A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10E02" w:rsidRDefault="00CD40F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02" w:rsidRDefault="00010E0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0E02">
      <w:trPr>
        <w:trHeight w:hRule="exact" w:val="1663"/>
      </w:trPr>
      <w:tc>
        <w:tcPr>
          <w:tcW w:w="1650" w:type="pct"/>
          <w:vAlign w:val="center"/>
        </w:tcPr>
        <w:p w:rsidR="00010E02" w:rsidRDefault="00CD40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0E02" w:rsidRDefault="00A51CCE">
          <w:pPr>
            <w:pStyle w:val="ConsPlusNormal0"/>
            <w:jc w:val="center"/>
          </w:pPr>
          <w:hyperlink r:id="rId1">
            <w:r w:rsidR="00CD40F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0E02" w:rsidRDefault="00CD40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6C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6C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10E02" w:rsidRDefault="00CD40F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CE" w:rsidRDefault="00A51CCE">
      <w:r>
        <w:separator/>
      </w:r>
    </w:p>
  </w:footnote>
  <w:footnote w:type="continuationSeparator" w:id="0">
    <w:p w:rsidR="00A51CCE" w:rsidRDefault="00A5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0E02">
      <w:trPr>
        <w:trHeight w:hRule="exact" w:val="1683"/>
      </w:trPr>
      <w:tc>
        <w:tcPr>
          <w:tcW w:w="2700" w:type="pct"/>
          <w:vAlign w:val="center"/>
        </w:tcPr>
        <w:p w:rsidR="00010E02" w:rsidRDefault="00CD40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11.02.2026 N ГР/10525/26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 w:rsidR="00010E02" w:rsidRDefault="00CD40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010E02" w:rsidRDefault="00010E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0E02" w:rsidRDefault="00010E0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0E02">
      <w:trPr>
        <w:trHeight w:hRule="exact" w:val="1683"/>
      </w:trPr>
      <w:tc>
        <w:tcPr>
          <w:tcW w:w="2700" w:type="pct"/>
          <w:vAlign w:val="center"/>
        </w:tcPr>
        <w:p w:rsidR="00010E02" w:rsidRDefault="00CD40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11.02.2026 N ГР/10525/26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 w:rsidR="00010E02" w:rsidRDefault="00CD40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010E02" w:rsidRDefault="00010E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0E02" w:rsidRDefault="00010E0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E02"/>
    <w:rsid w:val="00010E02"/>
    <w:rsid w:val="00340037"/>
    <w:rsid w:val="006D06CD"/>
    <w:rsid w:val="007E08AF"/>
    <w:rsid w:val="00A51CCE"/>
    <w:rsid w:val="00C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4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6804&amp;date=16.02.2026&amp;dst=100039&amp;field=134" TargetMode="External"/><Relationship Id="rId18" Type="http://schemas.openxmlformats.org/officeDocument/2006/relationships/hyperlink" Target="https://login.consultant.ru/link/?req=doc&amp;base=LAW&amp;n=495181&amp;date=16.02.2026&amp;dst=100031&amp;field=134" TargetMode="External"/><Relationship Id="rId26" Type="http://schemas.openxmlformats.org/officeDocument/2006/relationships/hyperlink" Target="https://login.consultant.ru/link/?req=doc&amp;base=LAW&amp;n=495181&amp;date=16.02.2026&amp;dst=2994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181&amp;date=16.02.2026&amp;dst=2110&amp;field=13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6804&amp;date=16.02.2026&amp;dst=100038&amp;field=134" TargetMode="External"/><Relationship Id="rId17" Type="http://schemas.openxmlformats.org/officeDocument/2006/relationships/hyperlink" Target="https://fas.gov.ru/documents/689931" TargetMode="External"/><Relationship Id="rId25" Type="http://schemas.openxmlformats.org/officeDocument/2006/relationships/hyperlink" Target="https://login.consultant.ru/link/?req=doc&amp;base=LAW&amp;n=495181&amp;date=16.02.2026&amp;dst=2987&amp;field=13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804&amp;date=16.02.2026&amp;dst=100011&amp;field=134" TargetMode="External"/><Relationship Id="rId20" Type="http://schemas.openxmlformats.org/officeDocument/2006/relationships/hyperlink" Target="https://login.consultant.ru/link/?req=doc&amp;base=LAW&amp;n=495181&amp;date=16.02.2026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804&amp;date=16.02.2026&amp;dst=100011&amp;field=134" TargetMode="External"/><Relationship Id="rId24" Type="http://schemas.openxmlformats.org/officeDocument/2006/relationships/hyperlink" Target="https://login.consultant.ru/link/?req=doc&amp;base=LAW&amp;n=495181&amp;date=16.02.2026&amp;dst=12494&amp;field=134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6804&amp;date=16.02.2026&amp;dst=100039&amp;field=134" TargetMode="External"/><Relationship Id="rId23" Type="http://schemas.openxmlformats.org/officeDocument/2006/relationships/hyperlink" Target="https://login.consultant.ru/link/?req=doc&amp;base=LAW&amp;n=495181&amp;date=16.02.2026&amp;dst=12494&amp;field=134" TargetMode="External"/><Relationship Id="rId28" Type="http://schemas.openxmlformats.org/officeDocument/2006/relationships/hyperlink" Target="https://login.consultant.ru/link/?req=doc&amp;base=LAW&amp;n=495181&amp;date=16.02.2026" TargetMode="External"/><Relationship Id="rId10" Type="http://schemas.openxmlformats.org/officeDocument/2006/relationships/hyperlink" Target="https://login.consultant.ru/link/?req=doc&amp;base=LAW&amp;n=507477&amp;date=16.02.2026" TargetMode="External"/><Relationship Id="rId19" Type="http://schemas.openxmlformats.org/officeDocument/2006/relationships/hyperlink" Target="https://login.consultant.ru/link/?req=doc&amp;base=LAW&amp;n=495181&amp;date=16.02.2026&amp;dst=101291&amp;field=1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96804&amp;date=16.02.2026&amp;dst=100038&amp;field=134" TargetMode="External"/><Relationship Id="rId22" Type="http://schemas.openxmlformats.org/officeDocument/2006/relationships/hyperlink" Target="https://login.consultant.ru/link/?req=doc&amp;base=LAW&amp;n=495181&amp;date=16.02.2026" TargetMode="External"/><Relationship Id="rId27" Type="http://schemas.openxmlformats.org/officeDocument/2006/relationships/hyperlink" Target="https://login.consultant.ru/link/?req=doc&amp;base=LAW&amp;n=495181&amp;date=16.02.2026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ФАС России от 11.02.2026 N ГР/10525/26
"О рассмотрении обращения"</vt:lpstr>
    </vt:vector>
  </TitlesOfParts>
  <Company>КонсультантПлюс Версия 4025.00.30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11.02.2026 N ГР/10525/26
"О рассмотрении обращения"</dc:title>
  <cp:lastModifiedBy>Климович Роман Владимирович</cp:lastModifiedBy>
  <cp:revision>3</cp:revision>
  <cp:lastPrinted>2026-02-16T01:37:00Z</cp:lastPrinted>
  <dcterms:created xsi:type="dcterms:W3CDTF">2026-02-16T01:27:00Z</dcterms:created>
  <dcterms:modified xsi:type="dcterms:W3CDTF">2026-02-16T01:41:00Z</dcterms:modified>
</cp:coreProperties>
</file>